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1AB5" w:rsidRPr="00211AB5" w:rsidRDefault="00211AB5" w:rsidP="00211AB5">
      <w:pPr>
        <w:spacing w:line="360" w:lineRule="auto"/>
        <w:jc w:val="center"/>
        <w:rPr>
          <w:b/>
        </w:rPr>
      </w:pPr>
    </w:p>
    <w:p w:rsidR="00211AB5" w:rsidRPr="00211AB5" w:rsidRDefault="00211AB5" w:rsidP="00211AB5">
      <w:pPr>
        <w:spacing w:line="360" w:lineRule="auto"/>
        <w:jc w:val="center"/>
        <w:rPr>
          <w:b/>
        </w:rPr>
      </w:pPr>
      <w:r w:rsidRPr="00211AB5">
        <w:rPr>
          <w:b/>
        </w:rPr>
        <w:t xml:space="preserve"> </w:t>
      </w:r>
      <w:r w:rsidRPr="00211AB5">
        <w:rPr>
          <w:b/>
          <w:bCs/>
        </w:rPr>
        <w:t xml:space="preserve">BSL165 FOUNDATIONS OF BUSINESS LAW </w:t>
      </w:r>
    </w:p>
    <w:p w:rsidR="00211AB5" w:rsidRDefault="00211AB5" w:rsidP="00211AB5">
      <w:pPr>
        <w:spacing w:line="360" w:lineRule="auto"/>
        <w:jc w:val="center"/>
        <w:rPr>
          <w:b/>
        </w:rPr>
      </w:pPr>
      <w:r w:rsidRPr="00211AB5">
        <w:rPr>
          <w:b/>
          <w:bCs/>
        </w:rPr>
        <w:t>Assignment 2</w:t>
      </w:r>
    </w:p>
    <w:p w:rsidR="004241EF" w:rsidRPr="004241EF" w:rsidRDefault="004241EF" w:rsidP="004241EF">
      <w:pPr>
        <w:spacing w:line="360" w:lineRule="auto"/>
        <w:rPr>
          <w:b/>
        </w:rPr>
      </w:pPr>
      <w:r w:rsidRPr="004241EF">
        <w:rPr>
          <w:b/>
        </w:rPr>
        <w:t>ISSUE</w:t>
      </w:r>
    </w:p>
    <w:p w:rsidR="004241EF" w:rsidRDefault="004241EF" w:rsidP="004241EF">
      <w:pPr>
        <w:spacing w:line="360" w:lineRule="auto"/>
      </w:pPr>
      <w:r>
        <w:t xml:space="preserve">Whether </w:t>
      </w:r>
      <w:proofErr w:type="spellStart"/>
      <w:r>
        <w:t>Onesmus</w:t>
      </w:r>
      <w:proofErr w:type="spellEnd"/>
      <w:r>
        <w:t xml:space="preserve"> can claim a contract has been established between himself and Tom?</w:t>
      </w:r>
    </w:p>
    <w:p w:rsidR="004241EF" w:rsidRDefault="004241EF" w:rsidP="004241EF">
      <w:pPr>
        <w:spacing w:line="360" w:lineRule="auto"/>
      </w:pPr>
    </w:p>
    <w:p w:rsidR="004241EF" w:rsidRPr="004241EF" w:rsidRDefault="004241EF" w:rsidP="004241EF">
      <w:pPr>
        <w:spacing w:line="360" w:lineRule="auto"/>
        <w:rPr>
          <w:b/>
        </w:rPr>
      </w:pPr>
      <w:r w:rsidRPr="004241EF">
        <w:rPr>
          <w:b/>
        </w:rPr>
        <w:t>LAW</w:t>
      </w:r>
    </w:p>
    <w:p w:rsidR="004241EF" w:rsidRPr="004241EF" w:rsidRDefault="00211AB5" w:rsidP="004241EF">
      <w:pPr>
        <w:spacing w:line="360" w:lineRule="auto"/>
        <w:rPr>
          <w:u w:val="single"/>
        </w:rPr>
      </w:pPr>
      <w:r>
        <w:rPr>
          <w:u w:val="single"/>
        </w:rPr>
        <w:t xml:space="preserve">Offer v </w:t>
      </w:r>
      <w:r w:rsidR="004241EF" w:rsidRPr="004241EF">
        <w:rPr>
          <w:u w:val="single"/>
        </w:rPr>
        <w:t>Invitation to treat</w:t>
      </w:r>
    </w:p>
    <w:p w:rsidR="004241EF" w:rsidRDefault="004241EF" w:rsidP="004241EF">
      <w:pPr>
        <w:spacing w:line="360" w:lineRule="auto"/>
      </w:pPr>
      <w:r>
        <w:t xml:space="preserve">An invitation to treat is distinguished from an offer. Whereas an offer is an expression of willingness to be contractually bound by the terms stated, as soon as an acceptance is </w:t>
      </w:r>
      <w:r w:rsidR="00F01883">
        <w:t>tendered</w:t>
      </w:r>
      <w:r w:rsidR="00F01883" w:rsidRPr="004241EF">
        <w:rPr>
          <w:rFonts w:ascii="Arial" w:hAnsi="Arial" w:cs="Arial"/>
          <w:color w:val="202122"/>
          <w:sz w:val="17"/>
          <w:szCs w:val="17"/>
          <w:shd w:val="clear" w:color="auto" w:fill="FFFFFF"/>
          <w:vertAlign w:val="superscript"/>
        </w:rPr>
        <w:t xml:space="preserve"> </w:t>
      </w:r>
      <w:r w:rsidR="00F01883">
        <w:t>(</w:t>
      </w:r>
      <w:proofErr w:type="spellStart"/>
      <w:r w:rsidR="000500BC" w:rsidRPr="000500BC">
        <w:t>Treitel</w:t>
      </w:r>
      <w:proofErr w:type="spellEnd"/>
      <w:r w:rsidR="000500BC" w:rsidRPr="000500BC">
        <w:t>, 1999</w:t>
      </w:r>
      <w:r w:rsidR="000500BC">
        <w:t>, p. 8</w:t>
      </w:r>
      <w:r w:rsidR="000500BC" w:rsidRPr="000500BC">
        <w:t>)</w:t>
      </w:r>
      <w:r w:rsidR="000500BC">
        <w:t xml:space="preserve"> </w:t>
      </w:r>
      <w:r>
        <w:t xml:space="preserve">an invitation to treat </w:t>
      </w:r>
      <w:r w:rsidR="00AD76CD">
        <w:t>does not have the intention of giving such power of acceptance to the recipient</w:t>
      </w:r>
      <w:r w:rsidR="00AD76CD" w:rsidRPr="00AD76CD">
        <w:t xml:space="preserve"> </w:t>
      </w:r>
      <w:r w:rsidR="00F01883" w:rsidRPr="00F01883">
        <w:t>(Burrows, 2009</w:t>
      </w:r>
      <w:r w:rsidR="00F01883">
        <w:t>, pp. 5</w:t>
      </w:r>
      <w:r w:rsidR="00F01883" w:rsidRPr="00F01883">
        <w:t>)</w:t>
      </w:r>
      <w:r w:rsidR="00AD76CD">
        <w:t xml:space="preserve"> In other words, invitations to treat are meant to invite offers.</w:t>
      </w:r>
    </w:p>
    <w:p w:rsidR="00AD76CD" w:rsidRDefault="00AD76CD" w:rsidP="004241EF">
      <w:pPr>
        <w:spacing w:line="360" w:lineRule="auto"/>
      </w:pPr>
      <w:r>
        <w:t xml:space="preserve">It is established </w:t>
      </w:r>
      <w:r w:rsidR="004F5871">
        <w:t>law that</w:t>
      </w:r>
      <w:r>
        <w:t xml:space="preserve"> advertisements are generally regarded as invitations to treat and not offers, as per the landmark judgment of </w:t>
      </w:r>
      <w:r w:rsidRPr="00AD76CD">
        <w:rPr>
          <w:i/>
        </w:rPr>
        <w:t>Partridge v Crittenden</w:t>
      </w:r>
      <w:r w:rsidRPr="00AD76CD">
        <w:t xml:space="preserve"> [1968]</w:t>
      </w:r>
      <w:r>
        <w:t xml:space="preserve">. The same reasoning was also previously supplied in </w:t>
      </w:r>
      <w:r w:rsidRPr="00AD76CD">
        <w:rPr>
          <w:i/>
        </w:rPr>
        <w:t>Grainger &amp; Son v Gough</w:t>
      </w:r>
      <w:r w:rsidRPr="00AD76CD">
        <w:t xml:space="preserve"> [1896]</w:t>
      </w:r>
      <w:r>
        <w:t xml:space="preserve">, which distinctly categorized </w:t>
      </w:r>
      <w:r w:rsidR="004E653C">
        <w:t>‘</w:t>
      </w:r>
      <w:proofErr w:type="gramStart"/>
      <w:r w:rsidR="004E653C">
        <w:t>circulars’</w:t>
      </w:r>
      <w:proofErr w:type="gramEnd"/>
      <w:r w:rsidR="004E653C">
        <w:t xml:space="preserve"> or pamphlets as invitations and not offers.</w:t>
      </w:r>
    </w:p>
    <w:p w:rsidR="000D653C" w:rsidRPr="00A210B1" w:rsidRDefault="00211AB5" w:rsidP="000D653C">
      <w:pPr>
        <w:spacing w:line="360" w:lineRule="auto"/>
        <w:rPr>
          <w:u w:val="single"/>
        </w:rPr>
      </w:pPr>
      <w:r>
        <w:rPr>
          <w:u w:val="single"/>
        </w:rPr>
        <w:t xml:space="preserve">Acceptance v </w:t>
      </w:r>
      <w:r w:rsidR="000D653C" w:rsidRPr="00A210B1">
        <w:rPr>
          <w:u w:val="single"/>
        </w:rPr>
        <w:t>Counter-offer</w:t>
      </w:r>
    </w:p>
    <w:p w:rsidR="000D653C" w:rsidRDefault="000D653C" w:rsidP="000D653C">
      <w:pPr>
        <w:spacing w:line="360" w:lineRule="auto"/>
      </w:pPr>
      <w:r>
        <w:t xml:space="preserve">An acceptance to an offer must be unconditional. In other words, the offer must be accepted without any modifications. This is known as the ‘mirror-image rule’, as per </w:t>
      </w:r>
      <w:r w:rsidRPr="00F0002E">
        <w:rPr>
          <w:i/>
        </w:rPr>
        <w:t>Butler Machine Tool Co Ltd v Ex-Cell-O Corp (England) Ltd</w:t>
      </w:r>
      <w:r w:rsidR="00F01883">
        <w:t xml:space="preserve"> [1977]</w:t>
      </w:r>
      <w:r>
        <w:t>.</w:t>
      </w:r>
    </w:p>
    <w:p w:rsidR="000D653C" w:rsidRPr="004F5871" w:rsidRDefault="000D653C" w:rsidP="004241EF">
      <w:pPr>
        <w:spacing w:line="360" w:lineRule="auto"/>
      </w:pPr>
      <w:r>
        <w:t xml:space="preserve">If the acceptor accepts the offer must alters the terms, then such is not actually an acceptance, but a counter offer where the original offeror now becomes the offeree. As per </w:t>
      </w:r>
      <w:r w:rsidRPr="00F0002E">
        <w:rPr>
          <w:i/>
        </w:rPr>
        <w:t>Hyde v Wrench</w:t>
      </w:r>
      <w:r w:rsidRPr="00F0002E">
        <w:t xml:space="preserve"> [1840]</w:t>
      </w:r>
      <w:r>
        <w:t xml:space="preserve">, the original offer is destroyed by the presentation of a counter offer. In the Australian context, the law of counter offer is supplied in </w:t>
      </w:r>
      <w:r w:rsidRPr="00F0002E">
        <w:rPr>
          <w:i/>
        </w:rPr>
        <w:t>Masters v Cameron</w:t>
      </w:r>
      <w:r w:rsidRPr="00F0002E">
        <w:t xml:space="preserve"> (1954)</w:t>
      </w:r>
      <w:r>
        <w:t>.</w:t>
      </w:r>
    </w:p>
    <w:p w:rsidR="000D653C" w:rsidRPr="002F2F12" w:rsidRDefault="00211AB5" w:rsidP="004241EF">
      <w:pPr>
        <w:spacing w:line="360" w:lineRule="auto"/>
        <w:rPr>
          <w:u w:val="single"/>
        </w:rPr>
      </w:pPr>
      <w:r>
        <w:rPr>
          <w:u w:val="single"/>
        </w:rPr>
        <w:t xml:space="preserve">Offer v </w:t>
      </w:r>
      <w:r w:rsidR="000D653C" w:rsidRPr="002F2F12">
        <w:rPr>
          <w:u w:val="single"/>
        </w:rPr>
        <w:t>Supply of information.</w:t>
      </w:r>
    </w:p>
    <w:p w:rsidR="000D653C" w:rsidRDefault="000D653C" w:rsidP="004241EF">
      <w:pPr>
        <w:spacing w:line="360" w:lineRule="auto"/>
      </w:pPr>
      <w:r>
        <w:lastRenderedPageBreak/>
        <w:t xml:space="preserve">It was held in </w:t>
      </w:r>
      <w:r w:rsidRPr="000D653C">
        <w:rPr>
          <w:i/>
        </w:rPr>
        <w:t>Harvey v Facey</w:t>
      </w:r>
      <w:r w:rsidRPr="000D653C">
        <w:t xml:space="preserve"> [1893]</w:t>
      </w:r>
      <w:r>
        <w:t>, that a supply of information as to the lowest sale price does not by itself constitute an offer but merely an invitation to treat and therefore not capable of acceptance.</w:t>
      </w:r>
    </w:p>
    <w:p w:rsidR="000D653C" w:rsidRDefault="000D653C" w:rsidP="004241EF">
      <w:pPr>
        <w:spacing w:line="360" w:lineRule="auto"/>
      </w:pPr>
      <w:r>
        <w:t xml:space="preserve">In </w:t>
      </w:r>
      <w:r w:rsidRPr="000D653C">
        <w:rPr>
          <w:i/>
        </w:rPr>
        <w:t>Gibson v Manchester City Council</w:t>
      </w:r>
      <w:r w:rsidRPr="000D653C">
        <w:t xml:space="preserve"> [1979]</w:t>
      </w:r>
      <w:r>
        <w:t xml:space="preserve">, it was held that the words “may be prepared to sell” was a notification of </w:t>
      </w:r>
      <w:r w:rsidR="002F2F12">
        <w:t>price, and not an offer.</w:t>
      </w:r>
    </w:p>
    <w:p w:rsidR="004F22FB" w:rsidRPr="004F22FB" w:rsidRDefault="004F22FB" w:rsidP="004241EF">
      <w:pPr>
        <w:spacing w:line="360" w:lineRule="auto"/>
        <w:rPr>
          <w:u w:val="single"/>
        </w:rPr>
      </w:pPr>
      <w:r w:rsidRPr="004F22FB">
        <w:rPr>
          <w:u w:val="single"/>
        </w:rPr>
        <w:t xml:space="preserve">The parties must have equal </w:t>
      </w:r>
      <w:r>
        <w:rPr>
          <w:u w:val="single"/>
        </w:rPr>
        <w:t>opportunity to get out of the transaction</w:t>
      </w:r>
    </w:p>
    <w:p w:rsidR="004F22FB" w:rsidRPr="004F22FB" w:rsidRDefault="004F22FB" w:rsidP="004241EF">
      <w:pPr>
        <w:spacing w:line="360" w:lineRule="auto"/>
      </w:pPr>
      <w:r>
        <w:t xml:space="preserve">It was confirmed in the case of </w:t>
      </w:r>
      <w:r w:rsidRPr="004F22FB">
        <w:rPr>
          <w:i/>
        </w:rPr>
        <w:t xml:space="preserve">Dickinson v </w:t>
      </w:r>
      <w:proofErr w:type="spellStart"/>
      <w:r w:rsidRPr="004F22FB">
        <w:rPr>
          <w:i/>
        </w:rPr>
        <w:t>Dodds</w:t>
      </w:r>
      <w:proofErr w:type="spellEnd"/>
      <w:r w:rsidRPr="004F22FB">
        <w:t xml:space="preserve"> </w:t>
      </w:r>
      <w:r w:rsidR="00F01883" w:rsidRPr="00F01883">
        <w:t>(1875)</w:t>
      </w:r>
      <w:r>
        <w:t>, that both parties must have the equal opportunity to get out of the transaction. If one party has such opportunity at no cost, for instance an offeree of a standing offer without a consideration, then the other must also be afforded the same convenience.</w:t>
      </w:r>
    </w:p>
    <w:p w:rsidR="004E653C" w:rsidRPr="004E653C" w:rsidRDefault="004E653C" w:rsidP="004241EF">
      <w:pPr>
        <w:spacing w:line="360" w:lineRule="auto"/>
        <w:rPr>
          <w:u w:val="single"/>
        </w:rPr>
      </w:pPr>
      <w:r w:rsidRPr="004E653C">
        <w:rPr>
          <w:u w:val="single"/>
        </w:rPr>
        <w:t>Postal rule</w:t>
      </w:r>
      <w:r w:rsidR="00211AB5">
        <w:rPr>
          <w:u w:val="single"/>
        </w:rPr>
        <w:t xml:space="preserve"> of acceptance</w:t>
      </w:r>
    </w:p>
    <w:p w:rsidR="00A210B1" w:rsidRDefault="00F01883" w:rsidP="004241EF">
      <w:pPr>
        <w:spacing w:line="360" w:lineRule="auto"/>
      </w:pPr>
      <w:r>
        <w:t>As</w:t>
      </w:r>
      <w:r w:rsidR="004E653C">
        <w:t xml:space="preserve"> per the postal rule or the mailbox rule as it is called in the U.S., when an acceptance is tendered through the mail or postal service, the acceptance is deemed to complete when the letter is deposited in the post box or Post Office by the acceptor, not when the letter actually reaches the offeror. </w:t>
      </w:r>
    </w:p>
    <w:p w:rsidR="00AD76CD" w:rsidRPr="00A210B1" w:rsidRDefault="004E653C" w:rsidP="004241EF">
      <w:pPr>
        <w:spacing w:line="360" w:lineRule="auto"/>
      </w:pPr>
      <w:r>
        <w:t xml:space="preserve">The rule was first established in the case of </w:t>
      </w:r>
      <w:r w:rsidRPr="004E653C">
        <w:rPr>
          <w:i/>
          <w:iCs/>
        </w:rPr>
        <w:t>Adams v Lindsell</w:t>
      </w:r>
      <w:r w:rsidRPr="004E653C">
        <w:t> (1818</w:t>
      </w:r>
      <w:r w:rsidR="00F01883">
        <w:t xml:space="preserve">) </w:t>
      </w:r>
      <w:r w:rsidR="00A210B1">
        <w:t xml:space="preserve">confirmed by several subsequent decisions like </w:t>
      </w:r>
      <w:r w:rsidR="00A210B1" w:rsidRPr="00A210B1">
        <w:rPr>
          <w:i/>
          <w:iCs/>
        </w:rPr>
        <w:t>Dunlop v Higgins</w:t>
      </w:r>
      <w:r w:rsidR="00A210B1" w:rsidRPr="00A210B1">
        <w:t> (1848), </w:t>
      </w:r>
      <w:r w:rsidR="00A210B1" w:rsidRPr="00A210B1">
        <w:rPr>
          <w:i/>
          <w:iCs/>
        </w:rPr>
        <w:t>Household Fire and Carriage Accident Insurance Co Ltd v Grant</w:t>
      </w:r>
      <w:r w:rsidR="00A210B1" w:rsidRPr="00A210B1">
        <w:t> (1879) and </w:t>
      </w:r>
      <w:r w:rsidR="00A210B1" w:rsidRPr="00A210B1">
        <w:rPr>
          <w:i/>
          <w:iCs/>
        </w:rPr>
        <w:t>Henthorn v Fraser</w:t>
      </w:r>
      <w:r w:rsidR="00A210B1" w:rsidRPr="00A210B1">
        <w:t> [1892</w:t>
      </w:r>
      <w:r w:rsidR="00F01883">
        <w:t>]</w:t>
      </w:r>
      <w:r w:rsidR="00A210B1" w:rsidRPr="00A210B1">
        <w:t>.</w:t>
      </w:r>
    </w:p>
    <w:p w:rsidR="00A210B1" w:rsidRDefault="00A210B1" w:rsidP="004241EF">
      <w:pPr>
        <w:spacing w:line="360" w:lineRule="auto"/>
      </w:pPr>
      <w:r>
        <w:t xml:space="preserve">In Australia, a restrictive interpretation of the postal rule was confirmed in </w:t>
      </w:r>
      <w:proofErr w:type="spellStart"/>
      <w:r w:rsidRPr="00A210B1">
        <w:rPr>
          <w:i/>
        </w:rPr>
        <w:t>Tallerman</w:t>
      </w:r>
      <w:proofErr w:type="spellEnd"/>
      <w:r w:rsidRPr="00A210B1">
        <w:rPr>
          <w:i/>
        </w:rPr>
        <w:t xml:space="preserve"> &amp; Co Pty Ltd v Nathan's Merchandise</w:t>
      </w:r>
      <w:r w:rsidRPr="00A210B1">
        <w:t xml:space="preserve"> (1957)</w:t>
      </w:r>
      <w:r>
        <w:t>, that postal rule would only apply in situations where the sending of acceptance through the post was intended by the offer.</w:t>
      </w:r>
    </w:p>
    <w:p w:rsidR="004F22FB" w:rsidRDefault="004F22FB" w:rsidP="004241EF">
      <w:pPr>
        <w:spacing w:line="360" w:lineRule="auto"/>
      </w:pPr>
    </w:p>
    <w:p w:rsidR="004F22FB" w:rsidRPr="004F22FB" w:rsidRDefault="004F22FB" w:rsidP="004241EF">
      <w:pPr>
        <w:spacing w:line="360" w:lineRule="auto"/>
        <w:rPr>
          <w:b/>
        </w:rPr>
      </w:pPr>
      <w:r w:rsidRPr="004F22FB">
        <w:rPr>
          <w:b/>
        </w:rPr>
        <w:t>APPLICATION</w:t>
      </w:r>
    </w:p>
    <w:p w:rsidR="00AD76CD" w:rsidRDefault="004F22FB" w:rsidP="004241EF">
      <w:pPr>
        <w:spacing w:line="360" w:lineRule="auto"/>
      </w:pPr>
      <w:r>
        <w:t xml:space="preserve">The pamphlet received by </w:t>
      </w:r>
      <w:proofErr w:type="spellStart"/>
      <w:r>
        <w:t>Onesmus</w:t>
      </w:r>
      <w:proofErr w:type="spellEnd"/>
      <w:r>
        <w:t xml:space="preserve"> on 10 December 2019 is an advertisement and therefore as per </w:t>
      </w:r>
      <w:r w:rsidR="0089250F" w:rsidRPr="0089250F">
        <w:rPr>
          <w:i/>
        </w:rPr>
        <w:t>Partridge</w:t>
      </w:r>
      <w:r w:rsidR="0089250F">
        <w:t xml:space="preserve"> and </w:t>
      </w:r>
      <w:r w:rsidR="0089250F" w:rsidRPr="0089250F">
        <w:rPr>
          <w:i/>
        </w:rPr>
        <w:t>Grainger</w:t>
      </w:r>
      <w:r>
        <w:t xml:space="preserve"> an invitation to treat and not an offer.</w:t>
      </w:r>
    </w:p>
    <w:p w:rsidR="00B5218C" w:rsidRDefault="0089250F" w:rsidP="004241EF">
      <w:pPr>
        <w:spacing w:line="360" w:lineRule="auto"/>
      </w:pPr>
      <w:r>
        <w:t xml:space="preserve">The first statement by </w:t>
      </w:r>
      <w:proofErr w:type="spellStart"/>
      <w:r>
        <w:t>Onesmus</w:t>
      </w:r>
      <w:proofErr w:type="spellEnd"/>
      <w:r>
        <w:t xml:space="preserve"> and subsequent reply by Tom in the 12 December 2019 phone call are merely a part of business enquiry and negotiation.</w:t>
      </w:r>
    </w:p>
    <w:p w:rsidR="0089250F" w:rsidRDefault="0089250F" w:rsidP="004241EF">
      <w:pPr>
        <w:spacing w:line="360" w:lineRule="auto"/>
      </w:pPr>
      <w:r>
        <w:lastRenderedPageBreak/>
        <w:t xml:space="preserve">The first offer made was actually made by </w:t>
      </w:r>
      <w:proofErr w:type="spellStart"/>
      <w:r>
        <w:t>Onesmus</w:t>
      </w:r>
      <w:proofErr w:type="spellEnd"/>
      <w:r>
        <w:t xml:space="preserve"> in the third statement in the 12 December 2019 phone call, when he says </w:t>
      </w:r>
      <w:r w:rsidRPr="0089250F">
        <w:t xml:space="preserve">“The 6.6kw family solar system will work as well. I will pay you $2000 to </w:t>
      </w:r>
      <w:r>
        <w:t>install that system in my house</w:t>
      </w:r>
      <w:r w:rsidRPr="0089250F">
        <w:t>”</w:t>
      </w:r>
      <w:r>
        <w:t xml:space="preserve">. The words are sufficient enough to constitute an offer and also demonstrate </w:t>
      </w:r>
      <w:proofErr w:type="spellStart"/>
      <w:r>
        <w:t>Onesmus’s</w:t>
      </w:r>
      <w:proofErr w:type="spellEnd"/>
      <w:r>
        <w:t xml:space="preserve"> willingness to pay on those terms.</w:t>
      </w:r>
    </w:p>
    <w:p w:rsidR="004F467A" w:rsidRDefault="0089250F" w:rsidP="004241EF">
      <w:pPr>
        <w:spacing w:line="360" w:lineRule="auto"/>
      </w:pPr>
      <w:r>
        <w:t xml:space="preserve">The letter received by </w:t>
      </w:r>
      <w:proofErr w:type="spellStart"/>
      <w:r>
        <w:t>Onesmus</w:t>
      </w:r>
      <w:proofErr w:type="spellEnd"/>
      <w:r>
        <w:t xml:space="preserve"> from Tom on 20 December 2019, in reply of </w:t>
      </w:r>
      <w:proofErr w:type="spellStart"/>
      <w:r>
        <w:t>Onemus’s</w:t>
      </w:r>
      <w:proofErr w:type="spellEnd"/>
      <w:r>
        <w:t xml:space="preserve"> earlier offer, changed the price from $2000 to $2500. Since this is a variation in price, following the mirror-acceptance rule, it cannot be considered as a valid acceptance, and is instead, as per </w:t>
      </w:r>
      <w:r>
        <w:rPr>
          <w:i/>
        </w:rPr>
        <w:t>Hyde</w:t>
      </w:r>
      <w:r>
        <w:t xml:space="preserve"> may prima facie appear to be a counter-offer. </w:t>
      </w:r>
    </w:p>
    <w:p w:rsidR="0089250F" w:rsidRDefault="0089250F" w:rsidP="004241EF">
      <w:pPr>
        <w:spacing w:line="360" w:lineRule="auto"/>
      </w:pPr>
      <w:r>
        <w:t xml:space="preserve">The question is then whether the letter can indeed be considered as a counter-offer, or merely a supply of information. </w:t>
      </w:r>
      <w:r w:rsidR="004F467A">
        <w:t xml:space="preserve">As per </w:t>
      </w:r>
      <w:r w:rsidR="004F467A">
        <w:rPr>
          <w:i/>
        </w:rPr>
        <w:t>Harvey</w:t>
      </w:r>
      <w:r w:rsidR="004F467A">
        <w:t xml:space="preserve"> the disclosure of lowest price does not automatically constitute an offer. Further, the words written in Tom’s letter is “we can supply”,</w:t>
      </w:r>
      <w:r>
        <w:t xml:space="preserve"> </w:t>
      </w:r>
      <w:r w:rsidR="004F467A">
        <w:t xml:space="preserve">as per </w:t>
      </w:r>
      <w:r w:rsidR="004F467A" w:rsidRPr="000D653C">
        <w:rPr>
          <w:i/>
        </w:rPr>
        <w:t>Gibson</w:t>
      </w:r>
      <w:r w:rsidR="004F467A">
        <w:rPr>
          <w:i/>
        </w:rPr>
        <w:t>,</w:t>
      </w:r>
      <w:r w:rsidR="004F467A">
        <w:t xml:space="preserve"> the words “may be prepared to sell” was a notification of price, and not an offer.</w:t>
      </w:r>
    </w:p>
    <w:p w:rsidR="004F467A" w:rsidRDefault="004F467A" w:rsidP="004241EF">
      <w:pPr>
        <w:spacing w:line="360" w:lineRule="auto"/>
      </w:pPr>
      <w:r>
        <w:t xml:space="preserve">However, it should be remembered that Tom’s letter also instructed the attachment of a deposit cheque. Once the cheque is sent through mail by </w:t>
      </w:r>
      <w:proofErr w:type="spellStart"/>
      <w:r>
        <w:t>Onesmus</w:t>
      </w:r>
      <w:proofErr w:type="spellEnd"/>
      <w:r>
        <w:t xml:space="preserve">, he is powerless to revoke the transaction. Therefore, in such a case it is inequitable to give Tom the choice to confirm or reject the transaction at no cost, as per </w:t>
      </w:r>
      <w:r>
        <w:rPr>
          <w:i/>
        </w:rPr>
        <w:t>Dickinson.</w:t>
      </w:r>
      <w:r w:rsidR="00F01883">
        <w:t xml:space="preserve"> </w:t>
      </w:r>
      <w:r>
        <w:t xml:space="preserve">Therefore, since, in this case, the cheque was demanded by Tom as a </w:t>
      </w:r>
      <w:r>
        <w:rPr>
          <w:i/>
        </w:rPr>
        <w:t>confirmation</w:t>
      </w:r>
      <w:r>
        <w:t xml:space="preserve"> to an earlier offer, the principle in Dickinson trumps that of </w:t>
      </w:r>
      <w:r w:rsidRPr="004F467A">
        <w:rPr>
          <w:i/>
        </w:rPr>
        <w:t>Gibson</w:t>
      </w:r>
      <w:r>
        <w:t xml:space="preserve"> and </w:t>
      </w:r>
      <w:r w:rsidRPr="004F467A">
        <w:rPr>
          <w:i/>
        </w:rPr>
        <w:t>Harvey</w:t>
      </w:r>
      <w:r>
        <w:rPr>
          <w:i/>
        </w:rPr>
        <w:t xml:space="preserve">, </w:t>
      </w:r>
      <w:r>
        <w:t>and thus Tom’s letter of 20 December is a counter-offer.</w:t>
      </w:r>
    </w:p>
    <w:p w:rsidR="004F467A" w:rsidRDefault="004F467A" w:rsidP="004241EF">
      <w:pPr>
        <w:spacing w:line="360" w:lineRule="auto"/>
      </w:pPr>
      <w:r>
        <w:t xml:space="preserve">The acceptance to such counter-offer was posted by </w:t>
      </w:r>
      <w:proofErr w:type="spellStart"/>
      <w:r>
        <w:t>Onesmus</w:t>
      </w:r>
      <w:proofErr w:type="spellEnd"/>
      <w:r>
        <w:t xml:space="preserve"> on 27 December. The postal rule of acceptance applies in this case, </w:t>
      </w:r>
      <w:r w:rsidR="000500BC">
        <w:t xml:space="preserve">as the condition of </w:t>
      </w:r>
      <w:proofErr w:type="spellStart"/>
      <w:r w:rsidR="000500BC" w:rsidRPr="00A210B1">
        <w:rPr>
          <w:i/>
        </w:rPr>
        <w:t>Tallerman</w:t>
      </w:r>
      <w:proofErr w:type="spellEnd"/>
      <w:r w:rsidR="000500BC">
        <w:t xml:space="preserve"> is fulfilled because Tom himself by his letter permitted acceptance by post. </w:t>
      </w:r>
      <w:proofErr w:type="gramStart"/>
      <w:r w:rsidR="000500BC">
        <w:t>Therefore</w:t>
      </w:r>
      <w:proofErr w:type="gramEnd"/>
      <w:r w:rsidR="000500BC">
        <w:t xml:space="preserve"> as per the rule, the acceptance was already tendered on 27 December and the contract established.</w:t>
      </w:r>
    </w:p>
    <w:p w:rsidR="000500BC" w:rsidRDefault="000500BC" w:rsidP="004241EF">
      <w:pPr>
        <w:spacing w:line="360" w:lineRule="auto"/>
      </w:pPr>
      <w:r>
        <w:t>Therefore, the subsequent letter by Tom notifying about the change in prices from 1 January was sent after the acceptance was tendered and contract established on earlier terms.</w:t>
      </w:r>
    </w:p>
    <w:p w:rsidR="000500BC" w:rsidRDefault="000500BC" w:rsidP="004241EF">
      <w:pPr>
        <w:spacing w:line="360" w:lineRule="auto"/>
      </w:pPr>
    </w:p>
    <w:p w:rsidR="000500BC" w:rsidRPr="00F01883" w:rsidRDefault="000500BC" w:rsidP="004241EF">
      <w:pPr>
        <w:spacing w:line="360" w:lineRule="auto"/>
        <w:rPr>
          <w:b/>
        </w:rPr>
      </w:pPr>
      <w:r w:rsidRPr="00F01883">
        <w:rPr>
          <w:b/>
        </w:rPr>
        <w:t>CONCLUSION</w:t>
      </w:r>
    </w:p>
    <w:p w:rsidR="000500BC" w:rsidRDefault="00F01883" w:rsidP="00211AB5">
      <w:pPr>
        <w:pBdr>
          <w:bottom w:val="single" w:sz="4" w:space="1" w:color="auto"/>
        </w:pBdr>
        <w:spacing w:line="360" w:lineRule="auto"/>
      </w:pPr>
      <w:proofErr w:type="spellStart"/>
      <w:r>
        <w:t>Onesmus</w:t>
      </w:r>
      <w:proofErr w:type="spellEnd"/>
      <w:r>
        <w:t xml:space="preserve"> can claim that a valid contract has been already established between him and Tom before the new prices were notified to </w:t>
      </w:r>
      <w:proofErr w:type="spellStart"/>
      <w:r>
        <w:t>Onesmus</w:t>
      </w:r>
      <w:proofErr w:type="spellEnd"/>
      <w:r>
        <w:t>.</w:t>
      </w:r>
    </w:p>
    <w:p w:rsidR="00F01883" w:rsidRDefault="00F01883">
      <w:pPr>
        <w:spacing w:line="259" w:lineRule="auto"/>
        <w:jc w:val="left"/>
      </w:pPr>
      <w:r>
        <w:lastRenderedPageBreak/>
        <w:br w:type="page"/>
      </w:r>
    </w:p>
    <w:p w:rsidR="00F01883" w:rsidRPr="004F5871" w:rsidRDefault="00F01883" w:rsidP="00F01883">
      <w:pPr>
        <w:jc w:val="center"/>
        <w:rPr>
          <w:b/>
          <w:shd w:val="clear" w:color="auto" w:fill="FFFFFF"/>
        </w:rPr>
      </w:pPr>
      <w:r w:rsidRPr="004F5871">
        <w:rPr>
          <w:b/>
          <w:shd w:val="clear" w:color="auto" w:fill="FFFFFF"/>
        </w:rPr>
        <w:lastRenderedPageBreak/>
        <w:t>REFERENCES</w:t>
      </w:r>
    </w:p>
    <w:p w:rsidR="00F01883" w:rsidRDefault="00F01883" w:rsidP="00F01883">
      <w:pPr>
        <w:rPr>
          <w:u w:val="single"/>
          <w:shd w:val="clear" w:color="auto" w:fill="FFFFFF"/>
        </w:rPr>
      </w:pPr>
    </w:p>
    <w:p w:rsidR="00F01883" w:rsidRPr="0077622E" w:rsidRDefault="00F01883" w:rsidP="00F01883">
      <w:pPr>
        <w:rPr>
          <w:u w:val="single"/>
          <w:shd w:val="clear" w:color="auto" w:fill="FFFFFF"/>
        </w:rPr>
      </w:pPr>
      <w:r w:rsidRPr="0077622E">
        <w:rPr>
          <w:u w:val="single"/>
          <w:shd w:val="clear" w:color="auto" w:fill="FFFFFF"/>
        </w:rPr>
        <w:t>Cases</w:t>
      </w:r>
    </w:p>
    <w:p w:rsidR="00F01883" w:rsidRDefault="00F01883" w:rsidP="00F01883">
      <w:pPr>
        <w:rPr>
          <w:shd w:val="clear" w:color="auto" w:fill="FFFFFF"/>
        </w:rPr>
      </w:pPr>
      <w:r w:rsidRPr="004E653C">
        <w:rPr>
          <w:i/>
          <w:iCs/>
        </w:rPr>
        <w:t>Adams v Lindsell</w:t>
      </w:r>
      <w:r w:rsidRPr="004E653C">
        <w:t xml:space="preserve"> (1818) B &amp; </w:t>
      </w:r>
      <w:proofErr w:type="spellStart"/>
      <w:r w:rsidRPr="004E653C">
        <w:t>Ald</w:t>
      </w:r>
      <w:proofErr w:type="spellEnd"/>
      <w:r w:rsidRPr="004E653C">
        <w:t xml:space="preserve"> 681</w:t>
      </w:r>
    </w:p>
    <w:p w:rsidR="00F01883" w:rsidRDefault="00F01883" w:rsidP="00F01883">
      <w:r w:rsidRPr="00F0002E">
        <w:rPr>
          <w:i/>
        </w:rPr>
        <w:t>Butler Machine Tool Co Ltd v Ex-Cell-O Corp (England) Ltd</w:t>
      </w:r>
      <w:r w:rsidRPr="00F0002E">
        <w:t xml:space="preserve"> [1977] EWCA Civ 9</w:t>
      </w:r>
    </w:p>
    <w:p w:rsidR="00F01883" w:rsidRDefault="00F01883" w:rsidP="00F01883">
      <w:r w:rsidRPr="004F22FB">
        <w:rPr>
          <w:i/>
        </w:rPr>
        <w:t xml:space="preserve">Dickinson v </w:t>
      </w:r>
      <w:proofErr w:type="spellStart"/>
      <w:r w:rsidRPr="004F22FB">
        <w:rPr>
          <w:i/>
        </w:rPr>
        <w:t>Dodds</w:t>
      </w:r>
      <w:proofErr w:type="spellEnd"/>
      <w:r w:rsidRPr="004F22FB">
        <w:t xml:space="preserve"> </w:t>
      </w:r>
      <w:r w:rsidRPr="0077622E">
        <w:t>(1875) 2 Ch D 463</w:t>
      </w:r>
    </w:p>
    <w:p w:rsidR="00F01883" w:rsidRDefault="00F01883" w:rsidP="00F01883">
      <w:r w:rsidRPr="00A210B1">
        <w:rPr>
          <w:i/>
          <w:iCs/>
        </w:rPr>
        <w:t>Dunlop v Higgins</w:t>
      </w:r>
      <w:r w:rsidRPr="00A210B1">
        <w:t> (1848) 1 HL Cas 381</w:t>
      </w:r>
    </w:p>
    <w:p w:rsidR="00F01883" w:rsidRDefault="00F01883" w:rsidP="00F01883">
      <w:pPr>
        <w:rPr>
          <w:shd w:val="clear" w:color="auto" w:fill="FFFFFF"/>
        </w:rPr>
      </w:pPr>
      <w:r w:rsidRPr="000D653C">
        <w:rPr>
          <w:i/>
        </w:rPr>
        <w:t>Gibson v Manchester City Council</w:t>
      </w:r>
      <w:r w:rsidRPr="000D653C">
        <w:t xml:space="preserve"> [1979] UKHL 6</w:t>
      </w:r>
    </w:p>
    <w:p w:rsidR="00F01883" w:rsidRDefault="00F01883" w:rsidP="00F01883">
      <w:r w:rsidRPr="00AD76CD">
        <w:rPr>
          <w:i/>
        </w:rPr>
        <w:t>Grainger &amp; Son v Gough</w:t>
      </w:r>
      <w:r w:rsidRPr="00AD76CD">
        <w:t xml:space="preserve"> [1896] AC 325 HL</w:t>
      </w:r>
    </w:p>
    <w:p w:rsidR="00F01883" w:rsidRDefault="00F01883" w:rsidP="00F01883">
      <w:r w:rsidRPr="000D653C">
        <w:rPr>
          <w:i/>
        </w:rPr>
        <w:t>Harvey v Facey</w:t>
      </w:r>
      <w:r w:rsidRPr="000D653C">
        <w:t xml:space="preserve"> [1893] UKPC 1</w:t>
      </w:r>
    </w:p>
    <w:p w:rsidR="00F01883" w:rsidRDefault="00F01883" w:rsidP="00F01883">
      <w:r w:rsidRPr="00A210B1">
        <w:rPr>
          <w:i/>
          <w:iCs/>
        </w:rPr>
        <w:t>Henthorn v Fraser</w:t>
      </w:r>
      <w:r w:rsidRPr="00A210B1">
        <w:t> [1892] 2 Ch 27</w:t>
      </w:r>
    </w:p>
    <w:p w:rsidR="00F01883" w:rsidRDefault="00F01883" w:rsidP="00F01883">
      <w:r w:rsidRPr="00A210B1">
        <w:rPr>
          <w:i/>
          <w:iCs/>
        </w:rPr>
        <w:t>Household Fire and Carriage Accident Insurance Co Ltd v Grant</w:t>
      </w:r>
      <w:r w:rsidRPr="00A210B1">
        <w:t> (1879) 4 Ex D 216</w:t>
      </w:r>
    </w:p>
    <w:p w:rsidR="00F01883" w:rsidRDefault="00F01883" w:rsidP="00F01883">
      <w:r w:rsidRPr="00F0002E">
        <w:rPr>
          <w:i/>
        </w:rPr>
        <w:t>Hyde v Wrench</w:t>
      </w:r>
      <w:r w:rsidRPr="00F0002E">
        <w:t xml:space="preserve"> [1840] EWHC Ch J90</w:t>
      </w:r>
    </w:p>
    <w:p w:rsidR="00F01883" w:rsidRDefault="00F01883" w:rsidP="00F01883">
      <w:pPr>
        <w:rPr>
          <w:shd w:val="clear" w:color="auto" w:fill="FFFFFF"/>
        </w:rPr>
      </w:pPr>
      <w:r w:rsidRPr="00F0002E">
        <w:rPr>
          <w:i/>
        </w:rPr>
        <w:t>Masters v Cameron</w:t>
      </w:r>
      <w:r w:rsidRPr="00F0002E">
        <w:t xml:space="preserve"> (1954) 91 CLR 353</w:t>
      </w:r>
    </w:p>
    <w:p w:rsidR="00F01883" w:rsidRDefault="00F01883" w:rsidP="00F01883">
      <w:r w:rsidRPr="00AD76CD">
        <w:rPr>
          <w:i/>
        </w:rPr>
        <w:t>Partridge v Crittenden</w:t>
      </w:r>
      <w:r w:rsidRPr="00AD76CD">
        <w:t xml:space="preserve"> [1968] 1 WLR 1204</w:t>
      </w:r>
    </w:p>
    <w:p w:rsidR="00F01883" w:rsidRDefault="00F01883" w:rsidP="00F01883">
      <w:proofErr w:type="spellStart"/>
      <w:r w:rsidRPr="00A210B1">
        <w:rPr>
          <w:i/>
        </w:rPr>
        <w:t>Tallerman</w:t>
      </w:r>
      <w:proofErr w:type="spellEnd"/>
      <w:r w:rsidRPr="00A210B1">
        <w:rPr>
          <w:i/>
        </w:rPr>
        <w:t xml:space="preserve"> &amp; Co Pty Ltd v Nathan's Merchandise</w:t>
      </w:r>
      <w:r w:rsidRPr="00A210B1">
        <w:t xml:space="preserve"> (1957) 98 CLR 93</w:t>
      </w:r>
    </w:p>
    <w:p w:rsidR="00F01883" w:rsidRPr="0077622E" w:rsidRDefault="00F01883" w:rsidP="00F01883">
      <w:pPr>
        <w:rPr>
          <w:shd w:val="clear" w:color="auto" w:fill="FFFFFF"/>
        </w:rPr>
      </w:pPr>
    </w:p>
    <w:p w:rsidR="00F01883" w:rsidRPr="0077622E" w:rsidRDefault="00F01883" w:rsidP="00F01883">
      <w:pPr>
        <w:rPr>
          <w:u w:val="single"/>
          <w:shd w:val="clear" w:color="auto" w:fill="FFFFFF"/>
        </w:rPr>
      </w:pPr>
      <w:r w:rsidRPr="0077622E">
        <w:rPr>
          <w:u w:val="single"/>
          <w:shd w:val="clear" w:color="auto" w:fill="FFFFFF"/>
        </w:rPr>
        <w:t>Books</w:t>
      </w:r>
    </w:p>
    <w:p w:rsidR="00F01883" w:rsidRDefault="00F01883" w:rsidP="00F01883">
      <w:pPr>
        <w:rPr>
          <w:shd w:val="clear" w:color="auto" w:fill="FFFFFF"/>
        </w:rPr>
      </w:pPr>
      <w:r>
        <w:rPr>
          <w:shd w:val="clear" w:color="auto" w:fill="FFFFFF"/>
        </w:rPr>
        <w:t>Burrows, A. (2009). </w:t>
      </w:r>
      <w:r>
        <w:rPr>
          <w:i/>
          <w:iCs/>
          <w:shd w:val="clear" w:color="auto" w:fill="FFFFFF"/>
        </w:rPr>
        <w:t>A casebook on contract</w:t>
      </w:r>
      <w:r>
        <w:rPr>
          <w:shd w:val="clear" w:color="auto" w:fill="FFFFFF"/>
        </w:rPr>
        <w:t> (2nd ed.</w:t>
      </w:r>
      <w:r w:rsidR="004F5871">
        <w:rPr>
          <w:shd w:val="clear" w:color="auto" w:fill="FFFFFF"/>
        </w:rPr>
        <w:t>, pp. 5</w:t>
      </w:r>
      <w:r>
        <w:rPr>
          <w:shd w:val="clear" w:color="auto" w:fill="FFFFFF"/>
        </w:rPr>
        <w:t>). Oxford: Hart Pub.</w:t>
      </w:r>
    </w:p>
    <w:p w:rsidR="00F01883" w:rsidRDefault="00F01883" w:rsidP="00F01883">
      <w:proofErr w:type="spellStart"/>
      <w:r>
        <w:rPr>
          <w:shd w:val="clear" w:color="auto" w:fill="FFFFFF"/>
        </w:rPr>
        <w:t>Treitel</w:t>
      </w:r>
      <w:proofErr w:type="spellEnd"/>
      <w:r>
        <w:rPr>
          <w:shd w:val="clear" w:color="auto" w:fill="FFFFFF"/>
        </w:rPr>
        <w:t>, G. (1999). </w:t>
      </w:r>
      <w:r>
        <w:rPr>
          <w:i/>
          <w:iCs/>
          <w:shd w:val="clear" w:color="auto" w:fill="FFFFFF"/>
        </w:rPr>
        <w:t>The law of contract</w:t>
      </w:r>
      <w:r>
        <w:rPr>
          <w:shd w:val="clear" w:color="auto" w:fill="FFFFFF"/>
        </w:rPr>
        <w:t> (10th ed., p. 8). London: Sweet &amp; Maxwell.</w:t>
      </w:r>
    </w:p>
    <w:p w:rsidR="00F01883" w:rsidRPr="000500BC" w:rsidRDefault="00F01883" w:rsidP="004241EF">
      <w:pPr>
        <w:spacing w:line="360" w:lineRule="auto"/>
      </w:pPr>
    </w:p>
    <w:sectPr w:rsidR="00F01883" w:rsidRPr="000500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6AEC" w:rsidRDefault="002B6AEC" w:rsidP="004F22FB">
      <w:pPr>
        <w:spacing w:after="0" w:line="240" w:lineRule="auto"/>
      </w:pPr>
      <w:r>
        <w:separator/>
      </w:r>
    </w:p>
  </w:endnote>
  <w:endnote w:type="continuationSeparator" w:id="0">
    <w:p w:rsidR="002B6AEC" w:rsidRDefault="002B6AEC" w:rsidP="004F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B91" w:rsidRDefault="009C5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B91" w:rsidRDefault="009C5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B91" w:rsidRDefault="009C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6AEC" w:rsidRDefault="002B6AEC" w:rsidP="004F22FB">
      <w:pPr>
        <w:spacing w:after="0" w:line="240" w:lineRule="auto"/>
      </w:pPr>
      <w:r>
        <w:separator/>
      </w:r>
    </w:p>
  </w:footnote>
  <w:footnote w:type="continuationSeparator" w:id="0">
    <w:p w:rsidR="002B6AEC" w:rsidRDefault="002B6AEC" w:rsidP="004F2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B91" w:rsidRDefault="002B6AEC">
    <w:pPr>
      <w:pStyle w:val="Header"/>
    </w:pPr>
    <w:r>
      <w:rPr>
        <w:noProof/>
      </w:rPr>
      <w:pict w14:anchorId="7DB00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41972" o:spid="_x0000_s1027" type="#_x0000_t136" alt="" style="position:absolute;left:0;text-align:left;margin-left:0;margin-top:0;width:508.05pt;height:151.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B91" w:rsidRDefault="002B6AEC">
    <w:pPr>
      <w:pStyle w:val="Header"/>
    </w:pPr>
    <w:r>
      <w:rPr>
        <w:noProof/>
      </w:rPr>
      <w:pict w14:anchorId="08D52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41973" o:spid="_x0000_s1026" type="#_x0000_t136" alt="" style="position:absolute;left:0;text-align:left;margin-left:0;margin-top:0;width:508.05pt;height:151.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5B91" w:rsidRDefault="002B6AEC">
    <w:pPr>
      <w:pStyle w:val="Header"/>
    </w:pPr>
    <w:r>
      <w:rPr>
        <w:noProof/>
      </w:rPr>
      <w:pict w14:anchorId="063F9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41971" o:spid="_x0000_s1025" type="#_x0000_t136" alt="" style="position:absolute;left:0;text-align:left;margin-left:0;margin-top:0;width:508.05pt;height:151.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C"/>
    <w:rsid w:val="000500BC"/>
    <w:rsid w:val="0005773C"/>
    <w:rsid w:val="000D653C"/>
    <w:rsid w:val="00172942"/>
    <w:rsid w:val="00211AB5"/>
    <w:rsid w:val="002B4666"/>
    <w:rsid w:val="002B6AEC"/>
    <w:rsid w:val="002F2F12"/>
    <w:rsid w:val="004241EF"/>
    <w:rsid w:val="004E653C"/>
    <w:rsid w:val="004F22FB"/>
    <w:rsid w:val="004F467A"/>
    <w:rsid w:val="004F5871"/>
    <w:rsid w:val="005C7881"/>
    <w:rsid w:val="006C4FD4"/>
    <w:rsid w:val="0089250F"/>
    <w:rsid w:val="009C5B91"/>
    <w:rsid w:val="00A210B1"/>
    <w:rsid w:val="00AD76CD"/>
    <w:rsid w:val="00B5218C"/>
    <w:rsid w:val="00F0002E"/>
    <w:rsid w:val="00F0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8D83BED-18B1-4874-AFE5-2F6F9E5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5C7881"/>
    <w:pPr>
      <w:spacing w:line="276"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18C"/>
    <w:pPr>
      <w:spacing w:before="100" w:beforeAutospacing="1" w:after="100" w:afterAutospacing="1" w:line="240" w:lineRule="auto"/>
      <w:jc w:val="left"/>
    </w:pPr>
    <w:rPr>
      <w:rFonts w:eastAsia="Times New Roman"/>
    </w:rPr>
  </w:style>
  <w:style w:type="character" w:styleId="Hyperlink">
    <w:name w:val="Hyperlink"/>
    <w:basedOn w:val="DefaultParagraphFont"/>
    <w:uiPriority w:val="99"/>
    <w:unhideWhenUsed/>
    <w:rsid w:val="00B5218C"/>
    <w:rPr>
      <w:color w:val="0000FF"/>
      <w:u w:val="single"/>
    </w:rPr>
  </w:style>
  <w:style w:type="paragraph" w:styleId="FootnoteText">
    <w:name w:val="footnote text"/>
    <w:basedOn w:val="Normal"/>
    <w:link w:val="FootnoteTextChar"/>
    <w:uiPriority w:val="99"/>
    <w:semiHidden/>
    <w:unhideWhenUsed/>
    <w:rsid w:val="004F2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2F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F22FB"/>
    <w:rPr>
      <w:vertAlign w:val="superscript"/>
    </w:rPr>
  </w:style>
  <w:style w:type="character" w:styleId="FollowedHyperlink">
    <w:name w:val="FollowedHyperlink"/>
    <w:basedOn w:val="DefaultParagraphFont"/>
    <w:uiPriority w:val="99"/>
    <w:semiHidden/>
    <w:unhideWhenUsed/>
    <w:rsid w:val="000500BC"/>
    <w:rPr>
      <w:color w:val="954F72" w:themeColor="followedHyperlink"/>
      <w:u w:val="single"/>
    </w:rPr>
  </w:style>
  <w:style w:type="paragraph" w:styleId="Header">
    <w:name w:val="header"/>
    <w:basedOn w:val="Normal"/>
    <w:link w:val="HeaderChar"/>
    <w:uiPriority w:val="99"/>
    <w:unhideWhenUsed/>
    <w:rsid w:val="009C5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B91"/>
    <w:rPr>
      <w:rFonts w:ascii="Times New Roman" w:hAnsi="Times New Roman" w:cs="Times New Roman"/>
      <w:sz w:val="24"/>
      <w:szCs w:val="24"/>
    </w:rPr>
  </w:style>
  <w:style w:type="paragraph" w:styleId="Footer">
    <w:name w:val="footer"/>
    <w:basedOn w:val="Normal"/>
    <w:link w:val="FooterChar"/>
    <w:uiPriority w:val="99"/>
    <w:unhideWhenUsed/>
    <w:rsid w:val="009C5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B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55502">
      <w:bodyDiv w:val="1"/>
      <w:marLeft w:val="0"/>
      <w:marRight w:val="0"/>
      <w:marTop w:val="0"/>
      <w:marBottom w:val="0"/>
      <w:divBdr>
        <w:top w:val="none" w:sz="0" w:space="0" w:color="auto"/>
        <w:left w:val="none" w:sz="0" w:space="0" w:color="auto"/>
        <w:bottom w:val="none" w:sz="0" w:space="0" w:color="auto"/>
        <w:right w:val="none" w:sz="0" w:space="0" w:color="auto"/>
      </w:divBdr>
    </w:div>
    <w:div w:id="18114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5</Pages>
  <Words>1013</Words>
  <Characters>5484</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Ravi Gandhi</cp:lastModifiedBy>
  <cp:revision>3</cp:revision>
  <dcterms:created xsi:type="dcterms:W3CDTF">2020-11-01T11:33:00Z</dcterms:created>
  <dcterms:modified xsi:type="dcterms:W3CDTF">2026-06-04T11:03:00Z</dcterms:modified>
</cp:coreProperties>
</file>